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B" w:rsidRDefault="00281A1F">
      <w:r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Wymagania edukacyjne zawarte w planie wynikowym z edukacji dla bezpieczeństwa w klasie ósmej na rok szkolny 2020/21.</w:t>
      </w:r>
    </w:p>
    <w:p w:rsidR="00281A1F" w:rsidRDefault="00281A1F"/>
    <w:tbl>
      <w:tblPr>
        <w:tblStyle w:val="Tabela-Siatka"/>
        <w:tblW w:w="0" w:type="auto"/>
        <w:tblLayout w:type="fixed"/>
        <w:tblLook w:val="04A0"/>
      </w:tblPr>
      <w:tblGrid>
        <w:gridCol w:w="534"/>
        <w:gridCol w:w="1842"/>
        <w:gridCol w:w="2977"/>
        <w:gridCol w:w="3119"/>
        <w:gridCol w:w="816"/>
      </w:tblGrid>
      <w:tr w:rsidR="00281A1F" w:rsidTr="00C859FA">
        <w:trPr>
          <w:trHeight w:val="992"/>
        </w:trPr>
        <w:tc>
          <w:tcPr>
            <w:tcW w:w="534" w:type="dxa"/>
          </w:tcPr>
          <w:p w:rsidR="00281A1F" w:rsidRDefault="00281A1F" w:rsidP="00C859FA">
            <w:r>
              <w:t>Nr lekcji</w:t>
            </w:r>
          </w:p>
        </w:tc>
        <w:tc>
          <w:tcPr>
            <w:tcW w:w="1842" w:type="dxa"/>
          </w:tcPr>
          <w:p w:rsidR="00281A1F" w:rsidRDefault="00281A1F" w:rsidP="00C859FA">
            <w:r>
              <w:t>Temat</w:t>
            </w:r>
          </w:p>
        </w:tc>
        <w:tc>
          <w:tcPr>
            <w:tcW w:w="2977" w:type="dxa"/>
          </w:tcPr>
          <w:p w:rsidR="00281A1F" w:rsidRDefault="00281A1F" w:rsidP="00C859FA">
            <w:r>
              <w:t>Zagadnienia</w:t>
            </w:r>
          </w:p>
        </w:tc>
        <w:tc>
          <w:tcPr>
            <w:tcW w:w="3119" w:type="dxa"/>
          </w:tcPr>
          <w:p w:rsidR="00281A1F" w:rsidRDefault="00281A1F" w:rsidP="00C859FA">
            <w:r>
              <w:t>Oczekiwane wiadomości i umiejętności. Uczeń</w:t>
            </w:r>
          </w:p>
        </w:tc>
        <w:tc>
          <w:tcPr>
            <w:tcW w:w="816" w:type="dxa"/>
          </w:tcPr>
          <w:p w:rsidR="00281A1F" w:rsidRDefault="00281A1F" w:rsidP="00C859FA">
            <w:proofErr w:type="spellStart"/>
            <w:r>
              <w:t>Podst.programowa</w:t>
            </w:r>
            <w:proofErr w:type="spellEnd"/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1.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Edukacja dla bezpieczeństwa –nowy przedmiot, nowe spojrzenie na własną aktywność osobistą i społeczną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t>-</w:t>
            </w:r>
            <w:r>
              <w:rPr>
                <w:rFonts w:ascii="Arial" w:hAnsi="Arial" w:cs="Arial"/>
                <w:sz w:val="15"/>
                <w:szCs w:val="15"/>
              </w:rPr>
              <w:t xml:space="preserve"> główne obszary tematyczne realizowane w ramach edukacji dla bezpieczeństwa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–struktura nauczania przedmiotu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–ocenianie przedmiotowe (PSO)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–metody, formy i środki dydaktyczne</w:t>
            </w:r>
          </w:p>
          <w:p w:rsidR="00281A1F" w:rsidRPr="00C35176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–zainteresowania i uzdolnienia w obrębie przedmiotu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t>-</w:t>
            </w:r>
            <w:r>
              <w:rPr>
                <w:rFonts w:ascii="Arial" w:hAnsi="Arial" w:cs="Arial"/>
                <w:sz w:val="15"/>
                <w:szCs w:val="15"/>
              </w:rPr>
              <w:t xml:space="preserve"> wymienia przesłanki przemawiające za realizacją przedmiotu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główne obszary tematyczne w ramach przedmiotu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główne metody pracy rekomendowane w obrębie przedmiotu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–przedstawia zasady oceniania z przedmiotu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–wylicza przykłady form rozwoju swoich zainteresowań i uzdolnień korelujących z problematyką przedmiotu 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–przedstawia konstrukcję i omawia ogólną zawartość podręcznika do nauki przedmiotu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I.1, II.1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 xml:space="preserve">2. 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Bezpieczny obywatel, bezpieczny naród, bezpieczne państw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–definicja bezpieczeństwa –bezpieczeństwo jako stan i jako proces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–rodzaje bezpieczeństwa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–podstawowe pojęcia związane </w:t>
            </w:r>
            <w:r>
              <w:rPr>
                <w:rFonts w:ascii="Arial" w:hAnsi="Arial" w:cs="Arial"/>
                <w:sz w:val="15"/>
                <w:szCs w:val="15"/>
              </w:rPr>
              <w:br/>
              <w:t>z bezpieczeństwem państwa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–podmioty odpowiadające za bezpieczeństwo państwa i jego obywateli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–definiuje bezpieczeństwo –wymienia rodzaje bezpieczeństwa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rodzaje i dziedziny bezpieczeństwa państwa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–definiuje pojęcia ochrony </w:t>
            </w:r>
            <w:r>
              <w:rPr>
                <w:rFonts w:ascii="Arial" w:hAnsi="Arial" w:cs="Arial"/>
                <w:sz w:val="15"/>
                <w:szCs w:val="15"/>
              </w:rPr>
              <w:br/>
              <w:t>i obrony narodowej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–wymienia podmioty odpowiadające za bezpieczeństwo kraju i jego obywateli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I.1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 xml:space="preserve">3. 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 xml:space="preserve">Bezpieczeństwo Polski </w:t>
            </w:r>
            <w:r>
              <w:rPr>
                <w:rFonts w:ascii="Arial" w:hAnsi="Arial" w:cs="Arial"/>
                <w:sz w:val="15"/>
                <w:szCs w:val="15"/>
              </w:rPr>
              <w:br/>
              <w:t>w stosunkach międzynarodowych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–znaczenie geopolitycznych uwarunkowań położenia Polski i kształtowaniu jej bezpieczeństwa w ciągu dziejów i obecnie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–filary współczesnego bezpieczeństwa Polski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–polska aktywność na arenie międzynarodowej w zakresie zachowania bezpieczeństwa (relacje wielostronne, regionalne i dwustronne)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–wybrane zagrożenia dla bezpieczeństwa międzynarodowego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–opisuje geopolityczne położenie Polski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–omawia wybrane aspekty tego położenia dla bezpieczeństwa narodowego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–omawia historyczną ewolucję modelu bezpieczeństwa Polski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rolę organizacji międzynarodowych w zapewnieniu bezpieczeństwa Polski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przykłady polskiej aktywności na rzecz zachowania bezpieczeństwa (w ONZ, OBWE, NATO)</w:t>
            </w:r>
          </w:p>
          <w:p w:rsidR="00281A1F" w:rsidRPr="00C57C71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wybrane zagrożenia dla bezpieczeństwa we współczesnym świecie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I.2, I.3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 xml:space="preserve">4. 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Źródła zagrożeń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–rodzaje zagrożeń (naturalne, spowodowane działalnością człowieka oraz społeczne)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–postępowanie zapobiegawcze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–podmioty działające na rzecz zwalczania skutków zagrożeń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–system ratownictwa w Polsce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–numery alarmowe, Europejki Numer Alarmowy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–wymienia przykłady nadzwyczajnych zagrożeń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–dokonuje podziału zagrożeń ze względu na źródło ich pochodzenia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–omawia sposoby przeciwdziałania zagrożeniom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–wymienia podmioty działające na rzecz zwalczania skutków zagrożeń i tworzące system ratownictwa w Polsce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numery alarmowe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 w Polsce i przypisuje je odpowiednim służbom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–poszczególnym podmiotom ratowniczym przypisuje odpowiednie zadania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II.1, III.6.a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 xml:space="preserve">5. 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Ostrzeganie o zagrożeniach i alarmowanie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–system wykrywania skażeń i alarmowania 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–środki alarmowe i sygnały alarmowe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–rodzaje alarmów i komunikatów ostrzegawczych i sposoby ich ogłaszania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–zasady zachowania się po ogłoszeniu alarmu lub usłyszeniu komunikatu ostrzegawczego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–przeciwdziałanie panice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–charakteryzuje działanie i zadania systemu wykrywania skażeń i alarmowania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środki alarmowe podstawowe i zastępcze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–rozróżnia sygnały alarmowe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rodzaje komunikatów ostrzegawczych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–omawia sposób ogłaszania i odwołania alarmów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sposób zachowania się ludności po ogłoszeniu alarmu lub wydaniu komunikatu ostrzegawczego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 xml:space="preserve">–wymienia sposoby przeciwdziałania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panice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lastRenderedPageBreak/>
              <w:t>II.2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lastRenderedPageBreak/>
              <w:t>6.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Ewakuacja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–definicja ewakuacji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–stopnie ewakuacji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–rodzaje ewakuacji (planowa, doraźna, samoewakuacja)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–zasady zachowania podczas ewakuacji z budynku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–wybrane znaki ewakuacyjne i informacyjne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–szkolna instrukcja ewakuacji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–ewakuacja z terenów zagrożonych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–zasady zaopatrzenia w wodę i żywność w czasie ewakuacji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-ewakuacja zwierząt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–wyjaśnia termin „ewakuacja” i omawia jej znaczenie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–rozróżnia rodzaje i stopnie ewakuacji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sposób zachowania się podczas ewakuacji z budynku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–rozpoznaje znaki ewakuacyjne i informacyjne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–zna szkolną instrukcję ewakuacji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–omawia zasady ewakuacji ludności i zwierząt z terenów zagrożonych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–opisuje sposób zaopatrywania w wodę i żywność podczas ewakuacji 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 xml:space="preserve">–uzasadnia znaczenie przeciwdziałania panice i podporządkowania się poleceniom służb ratowniczych 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II.3, II.4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 xml:space="preserve">7. 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Zagrożenia pożarowe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–przyczyny pożarów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–zasady postępowania podczas pożaru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–podręczny sprzęt gaśniczy i zasady jego rozmieszczania w budynkach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–obsługa gaśnic i hydrantów wewnętrznych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–gaszenie odzieży płonącej na człowieku oraz zarzewia ognia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–wybrane znaki ochrony przeciwpożarowej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t>-</w:t>
            </w:r>
            <w:r>
              <w:rPr>
                <w:rFonts w:ascii="Arial" w:hAnsi="Arial" w:cs="Arial"/>
                <w:sz w:val="15"/>
                <w:szCs w:val="15"/>
              </w:rPr>
              <w:t xml:space="preserve"> wymienia główne przyczyny pożarów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–opisuje zasady postępowania po dostrzeżeniu pożaru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–omawia przeznaczenie podręcznego sprzętu gaśniczego i jego rozmieszczenie np. w szkole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sposób obsługi gaśnic i hydrantu wewnętrznego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–rozpoznaje znaki ochrony przeciwpożarowej –wyjaśnia, jak gasić zarzewie ognia i odzież płonącą na człowieku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II.3, II.5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8.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Zagrożenia powodziowe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–przyczyny powodzi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–ochrona przeciwpowodziowa w Polsce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–pogotowie przeciwpowodziowe i alarm powodziowy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–zasady zachowania się podczas powodzi i po opadnięciu wód powodziowych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–zapasy na wypadek powodzi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główne przyczyny powodzi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zadania państwa w zakresie ochrony przeciwpowodziowej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–wyjaśnia, jak należy się zachowywać w czasie powodzi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zasady postępowania po opadnięciu wód powodziowych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–planuje niezbędne zapasy, które powinien zgromadzić dla swojej rodziny, aby przetrwać kilka dni w sytuacji kryzysowej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–uzasadnia bezwzględny nakaz stosowania się do poleceń służb ratowniczych i sanitarnych w czasie powodzi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II.3, II.4, II.5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9.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Ekstremalne warunki pogodowe</w:t>
            </w:r>
          </w:p>
        </w:tc>
        <w:tc>
          <w:tcPr>
            <w:tcW w:w="2977" w:type="dxa"/>
          </w:tcPr>
          <w:p w:rsidR="00281A1F" w:rsidRDefault="00281A1F" w:rsidP="00C859FA">
            <w:r>
              <w:t>-</w:t>
            </w:r>
            <w:r>
              <w:rPr>
                <w:rFonts w:ascii="Arial" w:hAnsi="Arial" w:cs="Arial"/>
                <w:sz w:val="15"/>
                <w:szCs w:val="15"/>
              </w:rPr>
              <w:t xml:space="preserve"> charakterystyka zagrożenia i zasady postępowania podczas: </w:t>
            </w: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intensywnych opadów śniegu</w:t>
            </w: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ekstremalnie niskich temperatur</w:t>
            </w: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upałów</w:t>
            </w: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wichur</w:t>
            </w: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gwałtownych burz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–wymienia pogodowe zagrożenia dla bezpieczeństwa człowieka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praktyczne sposoby przeciwdziałania zagrożeniom podczas intensywnych opadów śniegu oraz ekstremalnie niskich temperatur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–omawia sposoby ochrony przed niszczącymi skutkami upałów, wichury i gwałtownych burz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II.5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10.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Wypadki i katastrofy komunikacyjne. Uwolnienie niebezpiecznych substancji chemicznych.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–przyczyny wypadków komunikacyjnych i zagrożenia towarzyszące tym wypadkom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–postępowanie ratownicze na miejscu wypadku komunikacyjnego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–oznaczenia pojazdów przewożących niebezpieczne substancje (tablice ADR)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–postępowanie po uwolnieniu się niebezpiecznych substancji chemicznych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–wymienia główne przyczyny wypadków komunikacyjnych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–opisuje zagrożenia towarzyszące tym wypadkom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–wymienia czynności, które należy wykonać, aby ocenić sytuację na miejscu zdarzenia, i stosuje tę wiedzę w praktyce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–omawia sposoby zapewnienia bezpieczeństwa poszkodowanym, ratownikowi, osobom postronnym i w miejscu zdarzenia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–omawia podstawowe zasady postępowania ratownika w miejscu zdarzenia (wypadek komunikacyjny)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zasady kodowania informacji na tablicach ADR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–opisuje zasady zachowania się po uwolnieniu substancji toksycznych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II.5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11.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Zagrożenia terrorystyczne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–przyczyny współczesnego terroryzmu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–najczęstsze formy aktów terroru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–zasady zachowania się podczas ataku terrorystycznego lub bezpośrednio po nim: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strzelanina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 xml:space="preserve">sytuacja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zakładnicza</w:t>
            </w:r>
            <w:proofErr w:type="spellEnd"/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atak bombowy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atak gazowy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podejrzana przesyłka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–omawia genezę i formy współczesnych aktów terroru</w:t>
            </w:r>
          </w:p>
          <w:p w:rsidR="00281A1F" w:rsidRDefault="00281A1F" w:rsidP="00C859FA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–opisuje zasady zachowania się na wypadek: </w:t>
            </w:r>
          </w:p>
          <w:p w:rsidR="00281A1F" w:rsidRDefault="00281A1F" w:rsidP="00C859FA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sym w:font="Symbol" w:char="F0B7"/>
            </w: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strzelaniny</w:t>
            </w:r>
          </w:p>
          <w:p w:rsidR="00281A1F" w:rsidRDefault="00281A1F" w:rsidP="00C859FA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sym w:font="Symbol" w:char="F0B7"/>
            </w: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znalezienia się w sytuacji </w:t>
            </w:r>
            <w:proofErr w:type="spellStart"/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zakładniczej</w:t>
            </w:r>
            <w:proofErr w:type="spellEnd"/>
          </w:p>
          <w:p w:rsidR="00281A1F" w:rsidRDefault="00281A1F" w:rsidP="00C859FA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sym w:font="Symbol" w:char="F0B7"/>
            </w: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ataku bombowego</w:t>
            </w:r>
          </w:p>
          <w:p w:rsidR="00281A1F" w:rsidRDefault="00281A1F" w:rsidP="00C859FA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sym w:font="Symbol" w:char="F0B7"/>
            </w: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ataku gazowego</w:t>
            </w:r>
          </w:p>
          <w:p w:rsidR="00281A1F" w:rsidRDefault="00281A1F" w:rsidP="00C859FA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sym w:font="Symbol" w:char="F0B7"/>
            </w: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otrzymania podejrzanej przesyłki</w:t>
            </w:r>
          </w:p>
          <w:p w:rsidR="00281A1F" w:rsidRPr="00523D1F" w:rsidRDefault="00281A1F" w:rsidP="00C85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–rozumie konieczność powiadamiania służb porządkowych (policji, straży miejskiej) o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podejrzanie zachowujących się osobach lub podejrzanych przedmiotach zauważonych w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523D1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miejscach publicznych</w:t>
            </w:r>
          </w:p>
          <w:p w:rsidR="00281A1F" w:rsidRDefault="00281A1F" w:rsidP="00C859FA"/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lastRenderedPageBreak/>
              <w:t>II.5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lastRenderedPageBreak/>
              <w:t>12.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Powtórzenie materiału z zakresu bezpieczeństwa oraz postępowania w sytuacjach zagrożeń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–powtórzenie i utrwalenie wiadomości przekazanych w ramach poprzednich jednostek dydaktycznych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–usystematyzowanie zdobytych wiadomości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–łączy logicznie poszczególne zagadnienia wciąg przyczynowo-skutkowy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–dostrzega słabe i mocne strony proponowanych rozwiązań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–proponuje własne –alternatywne –rozwiązania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–sprawnie operuje poznanym słownictwem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–trafnie argumentuje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–sprawnie realizuje inscenizowane działania ratownicze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–rozwija swoje zainteresowania w zakresie przedmiotu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I.1, I.2, I.3, II.1, II.2, II.3, II.4, II.5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13.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Próbna ewakuacja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–ewakuacja realizowana na podstawie szkolnej instrukcji ewakuacji, przy wykorzystaniu obowiązujących procedur, sygnałów i dróg ewakuacji; realizowana w obecności obserwatora z ramienia PSP (lub organu prowadzącego szkołę)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–omówienie istotnych elementów zachowania uczniów i personelu szkoły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–zna ogólne zasady postępowania po ogłoszeniu ewakuacji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–rozpoznaje znaki ewakuacyjne, informacyjne i ochrony przeciwpożarowej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–zna treść szkolnej instrukcji ewakuacji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–prawidłowo wykonuje nakazane czynności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–wykazuje troskę o bezpieczeństwo własne i innych osób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–zachowuje spokój i opanowanie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II.2, II.3, II.4, II.5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14.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Podstawowe wiadomości z zakresu pierwszej pomocy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–pierwsza pomoc –definicja i zakres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–obowiązek (prawny i moralny) udzielania pierwszej pomocy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–podstawy anatomii i fizjologii człowieka: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układ oddechowy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układ krążenia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układ nerwowy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–stan nagłego zagrożenia zdrowotnego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–przyczyny i okoliczności prowadzące do szybkiego pogorszenia stanu zdrowia lub zagrożenia życia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–wyjaśnia termin „pierwsza pomoc”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–określa prawny i moralny obowiązek niesienia pomocy poszkodowanym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–wyjaśnia rolę układów: krążenia, nerwowego, oddechowego w utrzymaniu podstawowych funkcji życiowych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–wyjaśnia pojęcie „stan nagłego zagrożenia zdrowotnego”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przyczyny i okoliczności prowadzące do szybkiego pogorszenia stanu zdrowia lub zagrożenia życia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–wyjaśnia znaczenie czasu podczas udzielania pierwszej pomocy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III.1, III.3, III.5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15- 16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Postępowanie w miejscu zdarzenia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–bezpieczeństwo: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świadka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ratownika,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 xml:space="preserve">poszkodowanych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miejsca zdarzenia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–środki ochrony osobistej dla ratownika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–bezpieczne zdejmowanie rękawiczek jednorazowych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–wzywanie profesjonalnej pomocy, adekwatnie do zaistniałego zdarzenia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–numery alarmowe, treść komunikatu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–aplikacje telefoniczne przydatne w ratownictwie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–transport poszkodowanych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czynności, które na miejscu zdarzenia należy podjąć w trosce o bezpieczeństwo: świadka, ratownika, poszkodowanych, miejsca zdarzenia i pozostałych osób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–wskazuje sposób zabezpieczenia się ratownika w kontakcie z poszkodowanym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–demonstruje bezpieczny sposób zdejmowania rękawiczek jednorazowych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–poprawnie konstruuje komunikat wzywający pomoc fachową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–podaje numery alarmowe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–podaje przykład aplikacji na telefon pomocnej w udzielaniu pierwszej pomocy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–opisuje wybrane sposoby transportu osób przytomnych i nieprzytomnych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III.1, III.2, III.3, III.4, III.6, III.7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17-18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Pomoc osobie nieprzytomnej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–łańcuch przeżycia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–rola świadka zdarzenia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–nagłe zatrzymanie krążenia (NZK)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–ocena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bezpieczeństwa miejsca zdarzenia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przytomności poszkodowanego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stanu poszkodowanego (schemat ABC)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–przyczyny i objawy utraty przytomności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–udrażnianie dróg oddechowych ocena oddechu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–pozycja bezpieczna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–ochrona termiczna i kontrolowanie stanu poszkodowanego</w:t>
            </w:r>
          </w:p>
          <w:p w:rsidR="00281A1F" w:rsidRPr="00AB71D8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–pierwsza pomoc w przypadku omdlenia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–wyjaśnia pojęcie „nagłe zatrzymanie krążenia”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ogniwa łańcucha przeżycia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–ocenia bezpieczeństwo miejsca wypadku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ocenia stan świadomości poszkodowanego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objawy utraty przytomności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–ocenia stan poszkodowanego wg schematu ABC –udrażnia drogi oddechowe (rękoczynem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czoło–żuchwa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–wyjaśnia mechanizm niedrożności dróg oddechowych u osoby nieprzytomnej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–sprawdza, czy poszkodowany oddycha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–układa poszkodowanego nieprzytomnego, ale oddychającego, w pozycji bezpiecznej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–zapewnia poszkodowanemu ochronę termiczną –umiejętnie stosuje folię NRC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–wyjaśnia, kiedy można zastosować odwrócony schemat CAB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główne przyczyny omdlenia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–charakteryzuje objawy zwiastujące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omdlenie</w:t>
            </w:r>
          </w:p>
          <w:p w:rsidR="00281A1F" w:rsidRPr="00AB71D8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–udziela pierwszej pomocy w przypadku omdlenia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lastRenderedPageBreak/>
              <w:t>III.8, III.9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lastRenderedPageBreak/>
              <w:t>19-20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Resuscytacja krążeniowo--oddechowa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–definicja resuscytacji krążeniowo-oddechowej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–przyczyny i typowe objawy NZK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–podstawowe zabiegi resuscytacyjne u dorosłych, dzieci i niemowląt (algorytm)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–obsługa automatycznego defibrylatora zewnętrznego (AED) z zaznaczeniem potrzeby wczesnego użycia urządzenia podczas RKO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t>-</w:t>
            </w:r>
            <w:r>
              <w:rPr>
                <w:rFonts w:ascii="Arial" w:hAnsi="Arial" w:cs="Arial"/>
                <w:sz w:val="15"/>
                <w:szCs w:val="15"/>
              </w:rPr>
              <w:t xml:space="preserve"> definiuje pojęcie „resuscytacja krążeniowo-oddechowa”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znaczenie RKO w akcji ratowniczej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warunki i czynniki zapewniające realizację RKO na wysokim poziomie skuteczności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–omawia algorytm ratowniczy RKO u dorosłych i dzieci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–wykonuje pełen cykl RKO na manekinie dorosłego i niemowlęcia (samodzielnie i w parze)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–stosuje środki ochrony osobistej podczas wykonywania RKO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działanie i obsługę automatycznego defibrylatora zewnętrznego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–przedstawia zalety zastosowania AED w akcji ratowniczej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III.1, III.10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21.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Apteczka pierwszej pomocy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–rodzaje apteczek pierwszej pomocy (wygląd, zawartość, rozmieszczenie)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–wyposażenie apteczki pierwszej pomocy (podstawy prawne, przeznaczenie):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samochodowej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domowej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turystycznej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–zastępcze i doraźnie improwizowane materiały opatrunkowe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–omawia przeznaczenie i podstawowe typy apteczek pierwszej pomocy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–wylicza przedmioty wchodzące w skład apteczki pierwszej pomocy: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samochodowej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turystycznej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domowej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zasady doboru i przechowywania składników apteczki pierwszej pomocy</w:t>
            </w:r>
          </w:p>
          <w:p w:rsidR="00281A1F" w:rsidRPr="00E238C4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–proponuje improwizowane środki opatrunkowe, zależnie od rodzaju zranieni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II.12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22.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Tamowanie krwotoków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–rodzaje ran i  krwotoków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–środki ochrony indywidualnej w kontakcie z płynami ustrojowymi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–zakładanie opatrunku osłaniającego i uciskowego w obrębie kończyn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–praktyczne sposoby opatrywania ran w zależności od miejsca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–wyjaśnia pojęcia: rana, krwotok, opatrunek uciskowy, opatrunek osłaniający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–wykonuje w obrębie kończyny opatrunki uciskowe i osłaniające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rodzaje krwotoków i charakteryzuje je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–stosuje rękawiczki ochronne podczas opatrywania ran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–bezpiecznie zdejmuje rękawiczki ochronne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–wykonuje opatrunek zależnie od miejsca zranienia (inne niż kończyna)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–demonstruje sposób tamowania krwotoku z nosa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II.13.a, III.13.b, III.13.c, III.13.d, III.13.e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23.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Złamania i zwichnięcia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–typowe objawy urazów kości i stawów oraz ich rodzaje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–opatrywanie złamań, skręceń i zwichnięć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–sposoby unieruchamiania kończyn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–zastosowanie chusty trójkątnej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–postępowanie ratownicze w przypadku urazów kręgosłupa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–zapobieganie urazom przy pracy, w sporcie i podczas rekreacji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–wyjaśnia pojęcia: złamanie, zwichnięcie, skręcenie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–zna i stosuje zasady doraźnego unieruchomienia kości i stawów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–zakłada temblak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–omawia pryncypialne zasady postępowania w przypadku podejrzenia urazów kręgosłupa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najczęstsze okoliczności urazów kręgosłupa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–podaje przykłady zapobiegania urazom w domu, w pracy, podczas rekreacji iw sporcie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III.13.f, III.13.g, III.13.h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24.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Oparzenia i odmrożenia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–oparzenia termiczne i chemiczne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–okoliczności, objawy, pierwsza pomoc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–udar słoneczny i udar cieplny –objawy, pierwsza pomoc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–wychłodzenie i odmrożenie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–przyczyny, pierwsza pomoc</w:t>
            </w:r>
          </w:p>
          <w:p w:rsidR="00281A1F" w:rsidRPr="00BD681E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–zapobieganie oparzeniom (środowisko domowe, małe dzieci)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–wyjaśnia pojęcia: oparzenie, udar słoneczny, udar cieplny, odmrożenie, wychłodzenie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–omawia zasady postępowania ratowniczego w przypadkach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oparzeń termicznych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oparzeń środkami chemicznymi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wychłodzenia organizmu i odmrożeń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–demonstruje sposób schładzania oparzonej kończyny</w:t>
            </w:r>
          </w:p>
          <w:p w:rsidR="00281A1F" w:rsidRPr="00BD681E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–proponuje skuteczne sposoby zapobiegania oparzeniom, ze szczególnym uwzględnieniem środowiska domowego i małych dzieci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III.14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t>25-26.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Inne groźne przypadki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–pierwsza pomoc w przypadku: </w:t>
            </w: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zadławienia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zawału serca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udaru mózgu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 xml:space="preserve">napadu padaczkowego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ciała obcego w oku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zatrucia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tonięcia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 xml:space="preserve">porażenia prądem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ukąszenia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użądlenia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–zapobieganie zadławieniom u dzieci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–omawia objawy oraz sposób udzielania pierwszej pomocy w przypadkach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zadławienia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sym w:font="Symbol" w:char="F0A7"/>
            </w:r>
            <w:r>
              <w:rPr>
                <w:rFonts w:ascii="Arial" w:hAnsi="Arial" w:cs="Arial"/>
                <w:sz w:val="15"/>
                <w:szCs w:val="15"/>
              </w:rPr>
              <w:t>omawia schemat postępowania w przypadku zadławienia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A7"/>
            </w:r>
            <w:r>
              <w:rPr>
                <w:rFonts w:ascii="Arial" w:hAnsi="Arial" w:cs="Arial"/>
                <w:sz w:val="15"/>
                <w:szCs w:val="15"/>
              </w:rPr>
              <w:t>wykonuje na manekinie rękoczyny ratunkowe w przypadku zadławienia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A7"/>
            </w:r>
            <w:r>
              <w:rPr>
                <w:rFonts w:ascii="Arial" w:hAnsi="Arial" w:cs="Arial"/>
                <w:sz w:val="15"/>
                <w:szCs w:val="15"/>
              </w:rPr>
              <w:t>wymienia przykłady działań zapobiegających zadławieniu u małych dzieci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zawału serca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udaru mózgu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napadu padaczkowego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ciała obcego w oku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zatrucia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tonięcia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porażenia prądem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 xml:space="preserve">ukąszenia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B7"/>
            </w:r>
            <w:r>
              <w:rPr>
                <w:rFonts w:ascii="Arial" w:hAnsi="Arial" w:cs="Arial"/>
                <w:sz w:val="15"/>
                <w:szCs w:val="15"/>
              </w:rPr>
              <w:t>użądlenia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–omawia sposoby zapewnienia bezpieczeństwa ratownika w wymienionych wypadkach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lastRenderedPageBreak/>
              <w:t xml:space="preserve">III.1, III.2, III.3,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III.5.a, III.5.b, III.11</w:t>
            </w:r>
          </w:p>
        </w:tc>
      </w:tr>
      <w:tr w:rsidR="00281A1F" w:rsidTr="00C859FA">
        <w:tc>
          <w:tcPr>
            <w:tcW w:w="534" w:type="dxa"/>
          </w:tcPr>
          <w:p w:rsidR="00281A1F" w:rsidRDefault="00281A1F" w:rsidP="00C859FA">
            <w:r>
              <w:lastRenderedPageBreak/>
              <w:t>27.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Powtórzenie materiału z zakresu pierwszej pomocy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–powtórzenie i utrwalenie wiadomości przekazanych w ramach poprzednich jednostek dydaktycznych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–usystematyzowanie zdobytych wiadomości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 xml:space="preserve">–przygotowanie uczniów do zaplanowanej formy kontroli wiedzy i umiejętności 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–łączy poszczególne zagadnienia w ciąg przyczynowo-skutkowy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–dostrzega słabe i mocne strony proponowanych rozwiązań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–proponuje własne –alternatywne –rozwiązania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–sprawnie operuje poznanym słownictwem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–trafnie argumentuje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–sprawnie realizuje działania ratownicze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–rozwija swoje zainteresowania w zakresie przedmiotu</w:t>
            </w:r>
          </w:p>
        </w:tc>
        <w:tc>
          <w:tcPr>
            <w:tcW w:w="816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III.1, III.2, III.3, III.4, III.5, III.6, III.7, III.8, III.9, III.10, III.11, III.12, III.13, III.14</w:t>
            </w:r>
          </w:p>
        </w:tc>
      </w:tr>
      <w:tr w:rsidR="00281A1F" w:rsidRPr="00BD681E" w:rsidTr="00C859FA">
        <w:tc>
          <w:tcPr>
            <w:tcW w:w="534" w:type="dxa"/>
          </w:tcPr>
          <w:p w:rsidR="00281A1F" w:rsidRDefault="00281A1F" w:rsidP="00C859FA">
            <w:r>
              <w:t>28-29.</w:t>
            </w:r>
          </w:p>
        </w:tc>
        <w:tc>
          <w:tcPr>
            <w:tcW w:w="1842" w:type="dxa"/>
          </w:tcPr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Zdrowie jako wartość. Zasady zdrowego stylu życia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–definicja zdrowia i jego rodzaje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–czynniki mające wpływ na zdrowie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–zależne i niezależne od człowieka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–zachowania prozdrowotne oraz krótko-i długoterminowe konsekwencje ich zaniedbania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–zachowania ryzykowne i ich konsekwencje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–wyznaczniki i parametry stanu organizmu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–źródła informacji oświadczeniach i usługach medycznych oraz o zdrowiu –indywidualny plan troski o zdrowie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–definiuje zdrowie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–wyjaśnia zależności między zdrowiem fizycznym, psychicznym, emocjonalnym aspołecznym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czynniki mające wpływ na zdrowie i różnicuje je na takie, które są niezależne od człowieka, i takie, na które ma on całkowity wpływ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zachowania prozdrowotne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zachowania szkodliwe dla zdrowia (ryzykowne) i wskazuje te, które szczególnie często występują wśród nastolatków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–opisuje przewidywane skutki zachowań korzystnych i niekorzystnych dla zdrowia, zarówno te krótko-, jak i długofalowe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–określa rzetelne źródła informacji o zdrowiu oraz świadczeniach i usługach medycznych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wyznaczniki stanu ludzkiego organizmu i opisuje sposoby ich kontrolowania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–analizuje i ocenia własne zachowania i możliwości związane ze zdrowiem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–proponuje indywidualny plan żywieniowy, treningowy, program aktywnego wypoczynku oraz inne, istotne działania, sprzyjające jego prawidłowemu funkcjonowaniu w środowisku przyrodniczym i społecznym</w:t>
            </w:r>
          </w:p>
        </w:tc>
        <w:tc>
          <w:tcPr>
            <w:tcW w:w="816" w:type="dxa"/>
          </w:tcPr>
          <w:p w:rsidR="00281A1F" w:rsidRPr="00BD681E" w:rsidRDefault="00281A1F" w:rsidP="00C859FA">
            <w:pPr>
              <w:rPr>
                <w:lang w:val="de-DE"/>
              </w:rPr>
            </w:pPr>
            <w:r w:rsidRPr="00BD681E">
              <w:rPr>
                <w:rFonts w:ascii="Arial" w:hAnsi="Arial" w:cs="Arial"/>
                <w:sz w:val="15"/>
                <w:szCs w:val="15"/>
                <w:lang w:val="de-DE"/>
              </w:rPr>
              <w:t>IV.1, IV.2, IV.3, IV.5, IV.6</w:t>
            </w:r>
          </w:p>
        </w:tc>
      </w:tr>
      <w:tr w:rsidR="00281A1F" w:rsidRPr="00BD681E" w:rsidTr="00C859FA">
        <w:tc>
          <w:tcPr>
            <w:tcW w:w="534" w:type="dxa"/>
          </w:tcPr>
          <w:p w:rsidR="00281A1F" w:rsidRDefault="00281A1F" w:rsidP="00C859FA">
            <w:r>
              <w:t>30.</w:t>
            </w:r>
          </w:p>
        </w:tc>
        <w:tc>
          <w:tcPr>
            <w:tcW w:w="1842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Choroby cywilizacyjne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–podział i przykłady chorób cywilizacyjnych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–przyczyny chorób cywilizacyjnych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–wpływ stresu na zdrowie człowieka i sposoby walki z nim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–profilaktyka chorób cywilizacyjnych oraz ich dotkliwe skutki społeczne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–wybrane problemy zdrowia psychicznego (depresja, anoreksja, uzależnienia behawioralne)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główne choroby cywilizacyjne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główne przyczyny chorób cywilizacyjnych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–wyjaśnia wpływ stresu na zdrowie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–proponuje zestaw działań łagodzących skutki stresu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–omawia objawy depresji, anoreksji i uzależnień behawioralnych</w:t>
            </w:r>
          </w:p>
          <w:p w:rsidR="00281A1F" w:rsidRDefault="00281A1F" w:rsidP="00C859FA">
            <w:r>
              <w:rPr>
                <w:rFonts w:ascii="Arial" w:hAnsi="Arial" w:cs="Arial"/>
                <w:sz w:val="15"/>
                <w:szCs w:val="15"/>
              </w:rPr>
              <w:t>–proponuje sposoby zapobiegania chorobom cywilizacyjnym</w:t>
            </w:r>
          </w:p>
        </w:tc>
        <w:tc>
          <w:tcPr>
            <w:tcW w:w="816" w:type="dxa"/>
          </w:tcPr>
          <w:p w:rsidR="00281A1F" w:rsidRPr="00BD681E" w:rsidRDefault="00281A1F" w:rsidP="00C859F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r w:rsidRPr="00BD681E">
              <w:rPr>
                <w:rFonts w:ascii="Arial" w:hAnsi="Arial" w:cs="Arial"/>
                <w:sz w:val="15"/>
                <w:szCs w:val="15"/>
                <w:lang w:val="de-DE"/>
              </w:rPr>
              <w:t>IV.1, IV.2, IV.5, IV.6, IV.7</w:t>
            </w:r>
          </w:p>
        </w:tc>
      </w:tr>
      <w:tr w:rsidR="00281A1F" w:rsidRPr="002C30E5" w:rsidTr="00C859FA">
        <w:tc>
          <w:tcPr>
            <w:tcW w:w="534" w:type="dxa"/>
          </w:tcPr>
          <w:p w:rsidR="00281A1F" w:rsidRPr="00BD681E" w:rsidRDefault="00281A1F" w:rsidP="00C859FA">
            <w:pPr>
              <w:rPr>
                <w:lang w:val="de-DE"/>
              </w:rPr>
            </w:pPr>
            <w:r>
              <w:rPr>
                <w:lang w:val="de-DE"/>
              </w:rPr>
              <w:t>31-32.</w:t>
            </w:r>
          </w:p>
        </w:tc>
        <w:tc>
          <w:tcPr>
            <w:tcW w:w="1842" w:type="dxa"/>
          </w:tcPr>
          <w:p w:rsidR="00281A1F" w:rsidRPr="002C30E5" w:rsidRDefault="00281A1F" w:rsidP="00C859FA">
            <w:r>
              <w:rPr>
                <w:rFonts w:ascii="Arial" w:hAnsi="Arial" w:cs="Arial"/>
                <w:sz w:val="15"/>
                <w:szCs w:val="15"/>
              </w:rPr>
              <w:t>Komunikacja interpersonalna w trosce o zdrowie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–komunikacja werbalna i niewerbalna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–elementy komunikacji niewerbalnej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–strefy dystansu komunikacyjnego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–zasady aktywnego słuchania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–zakłócenia w komunikacji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–bariery komunikacyjne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–asertywność: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2D"/>
            </w:r>
            <w:r>
              <w:rPr>
                <w:rFonts w:ascii="Arial" w:hAnsi="Arial" w:cs="Arial"/>
                <w:sz w:val="15"/>
                <w:szCs w:val="15"/>
              </w:rPr>
              <w:t>techniki asertywnego odmawiania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ym w:font="Symbol" w:char="F02D"/>
            </w:r>
            <w:r>
              <w:rPr>
                <w:rFonts w:ascii="Arial" w:hAnsi="Arial" w:cs="Arial"/>
                <w:sz w:val="15"/>
                <w:szCs w:val="15"/>
              </w:rPr>
              <w:t>obrona własnych granic</w:t>
            </w:r>
          </w:p>
          <w:p w:rsidR="00281A1F" w:rsidRPr="002C30E5" w:rsidRDefault="00281A1F" w:rsidP="00C859FA">
            <w:r>
              <w:rPr>
                <w:rFonts w:ascii="Arial" w:hAnsi="Arial" w:cs="Arial"/>
                <w:sz w:val="15"/>
                <w:szCs w:val="15"/>
              </w:rPr>
              <w:t>–negocjacje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–omawia znaczenie prawidłowej komunikacji interpersonalnej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–wyjaśnia znaczenie terminów „komunikacja werbalna” i „komunikacja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niewerbalna”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i świadomie wykorzystuje elementy komunikacji niewerbalnej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–charakteryzuje strefy dystansu komunikacyjnego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zasady aktywnego słuchania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najczęstsze zakłócenia w komunikacji interpersonalnej oraz bariery komunikacyjne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–wymienia zasady asertywności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–buduje komunikaty asertywne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–odmawia stanowczo i z zachowaniem wysokiej kultury</w:t>
            </w:r>
          </w:p>
          <w:p w:rsidR="00281A1F" w:rsidRPr="002C30E5" w:rsidRDefault="00281A1F" w:rsidP="00C859FA">
            <w:r>
              <w:rPr>
                <w:rFonts w:ascii="Arial" w:hAnsi="Arial" w:cs="Arial"/>
                <w:sz w:val="15"/>
                <w:szCs w:val="15"/>
              </w:rPr>
              <w:t>–proponuje rozwiązania spornych kwestii zgodnie z zasadami negocjacji</w:t>
            </w:r>
          </w:p>
        </w:tc>
        <w:tc>
          <w:tcPr>
            <w:tcW w:w="816" w:type="dxa"/>
          </w:tcPr>
          <w:p w:rsidR="00281A1F" w:rsidRPr="002C30E5" w:rsidRDefault="00281A1F" w:rsidP="00C859FA">
            <w:r>
              <w:rPr>
                <w:rFonts w:ascii="Arial" w:hAnsi="Arial" w:cs="Arial"/>
                <w:sz w:val="15"/>
                <w:szCs w:val="15"/>
              </w:rPr>
              <w:lastRenderedPageBreak/>
              <w:t>IV.4, IV.6, IV.7</w:t>
            </w:r>
          </w:p>
        </w:tc>
      </w:tr>
      <w:tr w:rsidR="00281A1F" w:rsidRPr="002C30E5" w:rsidTr="00C859FA">
        <w:tc>
          <w:tcPr>
            <w:tcW w:w="534" w:type="dxa"/>
          </w:tcPr>
          <w:p w:rsidR="00281A1F" w:rsidRPr="002C30E5" w:rsidRDefault="00281A1F" w:rsidP="00C859FA">
            <w:r>
              <w:lastRenderedPageBreak/>
              <w:t>33.</w:t>
            </w:r>
          </w:p>
        </w:tc>
        <w:tc>
          <w:tcPr>
            <w:tcW w:w="1842" w:type="dxa"/>
          </w:tcPr>
          <w:p w:rsidR="00281A1F" w:rsidRPr="002C30E5" w:rsidRDefault="00281A1F" w:rsidP="00C859FA">
            <w:r>
              <w:rPr>
                <w:rFonts w:ascii="Arial" w:hAnsi="Arial" w:cs="Arial"/>
                <w:sz w:val="15"/>
                <w:szCs w:val="15"/>
              </w:rPr>
              <w:t>Powtórzenie materiału z zakresu profilaktyki zdrowotne</w:t>
            </w:r>
          </w:p>
        </w:tc>
        <w:tc>
          <w:tcPr>
            <w:tcW w:w="2977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–powtórzenie i utrwalenie wiadomości przekazanych w ramach poprzednich jednostek dydaktycznych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–usystematyzowanie zdobytych wiadomości</w:t>
            </w:r>
          </w:p>
          <w:p w:rsidR="00281A1F" w:rsidRPr="002C30E5" w:rsidRDefault="00281A1F" w:rsidP="00C859FA">
            <w:r>
              <w:rPr>
                <w:rFonts w:ascii="Arial" w:hAnsi="Arial" w:cs="Arial"/>
                <w:sz w:val="15"/>
                <w:szCs w:val="15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3119" w:type="dxa"/>
          </w:tcPr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–łączy logicznie poszczególne zagadnienia wciąg przyczynowo-skutkowy 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–dostrzega słabe i mocne strony proponowanych rozwiązań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–proponuje własne –alternatywne –rozwiązania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–sprawnie operuje poznanym słownictwem</w:t>
            </w:r>
          </w:p>
          <w:p w:rsidR="00281A1F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–trafnie argumentuje</w:t>
            </w:r>
          </w:p>
          <w:p w:rsidR="00281A1F" w:rsidRPr="002C30E5" w:rsidRDefault="00281A1F" w:rsidP="00C859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–rozwija swoje zainteresowania w zakresie przedmiotu</w:t>
            </w:r>
          </w:p>
        </w:tc>
        <w:tc>
          <w:tcPr>
            <w:tcW w:w="816" w:type="dxa"/>
          </w:tcPr>
          <w:p w:rsidR="00281A1F" w:rsidRPr="002C30E5" w:rsidRDefault="00281A1F" w:rsidP="00C859FA">
            <w:r>
              <w:rPr>
                <w:rFonts w:ascii="Arial" w:hAnsi="Arial" w:cs="Arial"/>
                <w:sz w:val="15"/>
                <w:szCs w:val="15"/>
              </w:rPr>
              <w:t>IV.1, IV.2, IV.3, IV.4, IV.5, IV.6, IV.7</w:t>
            </w:r>
          </w:p>
        </w:tc>
      </w:tr>
      <w:tr w:rsidR="00281A1F" w:rsidRPr="002C30E5" w:rsidTr="00C859FA">
        <w:tc>
          <w:tcPr>
            <w:tcW w:w="534" w:type="dxa"/>
          </w:tcPr>
          <w:p w:rsidR="00281A1F" w:rsidRPr="002C30E5" w:rsidRDefault="00281A1F" w:rsidP="00C859FA"/>
        </w:tc>
        <w:tc>
          <w:tcPr>
            <w:tcW w:w="1842" w:type="dxa"/>
          </w:tcPr>
          <w:p w:rsidR="00281A1F" w:rsidRPr="002C30E5" w:rsidRDefault="00281A1F" w:rsidP="00C859FA"/>
        </w:tc>
        <w:tc>
          <w:tcPr>
            <w:tcW w:w="2977" w:type="dxa"/>
          </w:tcPr>
          <w:p w:rsidR="00281A1F" w:rsidRPr="002C30E5" w:rsidRDefault="00281A1F" w:rsidP="00C859FA"/>
        </w:tc>
        <w:tc>
          <w:tcPr>
            <w:tcW w:w="3119" w:type="dxa"/>
          </w:tcPr>
          <w:p w:rsidR="00281A1F" w:rsidRPr="002C30E5" w:rsidRDefault="00281A1F" w:rsidP="00C859FA"/>
        </w:tc>
        <w:tc>
          <w:tcPr>
            <w:tcW w:w="816" w:type="dxa"/>
          </w:tcPr>
          <w:p w:rsidR="00281A1F" w:rsidRPr="002C30E5" w:rsidRDefault="00281A1F" w:rsidP="00C859FA"/>
        </w:tc>
      </w:tr>
    </w:tbl>
    <w:p w:rsidR="00281A1F" w:rsidRPr="002C30E5" w:rsidRDefault="00281A1F"/>
    <w:sectPr w:rsidR="00281A1F" w:rsidRPr="002C30E5" w:rsidSect="00281A1F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176"/>
    <w:rsid w:val="00032A35"/>
    <w:rsid w:val="002412B1"/>
    <w:rsid w:val="00281A1F"/>
    <w:rsid w:val="002C30E5"/>
    <w:rsid w:val="00311179"/>
    <w:rsid w:val="00523D1F"/>
    <w:rsid w:val="0056270B"/>
    <w:rsid w:val="00770C06"/>
    <w:rsid w:val="00AB71D8"/>
    <w:rsid w:val="00B12D67"/>
    <w:rsid w:val="00BD681E"/>
    <w:rsid w:val="00C35176"/>
    <w:rsid w:val="00C57C71"/>
    <w:rsid w:val="00E2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2974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2020-10-25T21:17:00Z</dcterms:created>
  <dcterms:modified xsi:type="dcterms:W3CDTF">2020-10-25T23:07:00Z</dcterms:modified>
</cp:coreProperties>
</file>